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40" w:rsidRPr="00134522" w:rsidRDefault="00AC6140" w:rsidP="005229C4">
      <w:pPr>
        <w:snapToGrid w:val="0"/>
        <w:jc w:val="center"/>
        <w:rPr>
          <w:rFonts w:eastAsia="標楷體"/>
          <w:sz w:val="32"/>
          <w:szCs w:val="26"/>
        </w:rPr>
      </w:pPr>
      <w:r w:rsidRPr="00134522">
        <w:rPr>
          <w:rFonts w:eastAsia="標楷體" w:hint="eastAsia"/>
          <w:sz w:val="32"/>
          <w:szCs w:val="26"/>
        </w:rPr>
        <w:t>泌尿科與精神科的對話</w:t>
      </w:r>
      <w:r w:rsidRPr="00134522">
        <w:rPr>
          <w:rFonts w:eastAsia="標楷體"/>
          <w:sz w:val="32"/>
          <w:szCs w:val="26"/>
        </w:rPr>
        <w:t xml:space="preserve"> - </w:t>
      </w:r>
      <w:r w:rsidRPr="00134522">
        <w:rPr>
          <w:rFonts w:eastAsia="標楷體" w:hint="eastAsia"/>
          <w:sz w:val="32"/>
          <w:szCs w:val="26"/>
        </w:rPr>
        <w:t>男性荷爾蒙與憂鬱症研討會</w:t>
      </w:r>
    </w:p>
    <w:p w:rsidR="00AC6140" w:rsidRDefault="00AC6140" w:rsidP="001E0F0F">
      <w:pPr>
        <w:snapToGrid w:val="0"/>
        <w:ind w:leftChars="-236" w:left="-566" w:firstLineChars="200" w:firstLine="480"/>
        <w:jc w:val="center"/>
        <w:rPr>
          <w:rFonts w:ascii="標楷體" w:eastAsia="標楷體" w:hAnsi="標楷體"/>
          <w:sz w:val="22"/>
          <w:shd w:val="clear" w:color="auto" w:fill="FFFFFF"/>
        </w:rPr>
      </w:pPr>
      <w:r w:rsidRPr="00673877">
        <w:rPr>
          <w:rFonts w:eastAsia="標楷體" w:hint="eastAsia"/>
          <w:szCs w:val="26"/>
        </w:rPr>
        <w:t>男性更年期</w:t>
      </w:r>
      <w:r w:rsidRPr="00673877">
        <w:rPr>
          <w:rFonts w:eastAsia="標楷體"/>
          <w:szCs w:val="26"/>
        </w:rPr>
        <w:t>/</w:t>
      </w:r>
      <w:r w:rsidRPr="00673877">
        <w:rPr>
          <w:rFonts w:eastAsia="標楷體" w:hint="eastAsia"/>
          <w:szCs w:val="26"/>
        </w:rPr>
        <w:t>男性荷爾蒙低下與精神心理情緒的相互關係</w:t>
      </w:r>
      <w:r>
        <w:rPr>
          <w:rFonts w:eastAsia="標楷體"/>
          <w:szCs w:val="26"/>
        </w:rPr>
        <w:t xml:space="preserve">  </w:t>
      </w:r>
      <w:r w:rsidRPr="00134522">
        <w:rPr>
          <w:rFonts w:eastAsia="標楷體" w:hint="eastAsia"/>
          <w:sz w:val="44"/>
          <w:szCs w:val="26"/>
        </w:rPr>
        <w:t>報名表</w:t>
      </w:r>
    </w:p>
    <w:tbl>
      <w:tblPr>
        <w:tblpPr w:leftFromText="180" w:rightFromText="180" w:vertAnchor="text" w:horzAnchor="margin" w:tblpY="3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3"/>
        <w:gridCol w:w="7152"/>
      </w:tblGrid>
      <w:tr w:rsidR="00AC6140" w:rsidTr="00134522">
        <w:tc>
          <w:tcPr>
            <w:tcW w:w="1384" w:type="dxa"/>
          </w:tcPr>
          <w:p w:rsidR="00AC6140" w:rsidRDefault="00AC6140">
            <w:pPr>
              <w:pStyle w:val="Date"/>
              <w:snapToGrid w:val="0"/>
              <w:spacing w:line="276" w:lineRule="auto"/>
              <w:jc w:val="center"/>
              <w:rPr>
                <w:rFonts w:ascii="Times New Roman"/>
                <w:sz w:val="24"/>
                <w:szCs w:val="24"/>
                <w:lang/>
              </w:rPr>
            </w:pPr>
            <w:r>
              <w:rPr>
                <w:rFonts w:ascii="Times New Roman" w:hint="eastAsia"/>
                <w:sz w:val="24"/>
                <w:szCs w:val="24"/>
              </w:rPr>
              <w:t>報</w:t>
            </w:r>
            <w:r>
              <w:rPr>
                <w:rFonts w:asci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名</w:t>
            </w:r>
            <w:r>
              <w:rPr>
                <w:rFonts w:asci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費</w:t>
            </w:r>
          </w:p>
        </w:tc>
        <w:tc>
          <w:tcPr>
            <w:tcW w:w="7156" w:type="dxa"/>
          </w:tcPr>
          <w:p w:rsidR="00AC6140" w:rsidRDefault="00AC6140">
            <w:pPr>
              <w:snapToGrid w:val="0"/>
              <w:rPr>
                <w:rFonts w:ascii="Times New Roman" w:eastAsia="標楷體" w:hAnsi="Times New Roman"/>
                <w:b/>
                <w:color w:val="FF0000"/>
                <w:szCs w:val="26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FF0000"/>
                <w:szCs w:val="26"/>
              </w:rPr>
              <w:t>11/30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6"/>
                <w:u w:val="single"/>
              </w:rPr>
              <w:t>前報名</w:t>
            </w:r>
            <w:r>
              <w:rPr>
                <w:rFonts w:ascii="Times New Roman" w:eastAsia="標楷體" w:hAnsi="Times New Roman"/>
                <w:b/>
                <w:color w:val="FF0000"/>
                <w:szCs w:val="26"/>
                <w:u w:val="single"/>
              </w:rPr>
              <w:t>-TAA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6"/>
                <w:u w:val="single"/>
              </w:rPr>
              <w:t>會員免費（含精神科醫學會會員），非會員</w:t>
            </w:r>
            <w:r>
              <w:rPr>
                <w:rFonts w:ascii="Times New Roman" w:eastAsia="標楷體" w:hAnsi="Times New Roman"/>
                <w:b/>
                <w:color w:val="FF0000"/>
                <w:szCs w:val="26"/>
                <w:u w:val="single"/>
              </w:rPr>
              <w:t>$300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6"/>
                <w:u w:val="single"/>
              </w:rPr>
              <w:t>；</w:t>
            </w:r>
          </w:p>
          <w:p w:rsidR="00AC6140" w:rsidRDefault="00AC6140" w:rsidP="00134522">
            <w:pPr>
              <w:snapToGrid w:val="0"/>
              <w:rPr>
                <w:rFonts w:ascii="Times New Roman" w:hAnsi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FF0000"/>
                <w:szCs w:val="26"/>
              </w:rPr>
              <w:t>12/1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後及現場，酌收報名費</w:t>
            </w:r>
            <w:r>
              <w:rPr>
                <w:rFonts w:ascii="Times New Roman" w:eastAsia="標楷體" w:hAnsi="Times New Roman"/>
                <w:b/>
                <w:color w:val="FF0000"/>
                <w:szCs w:val="26"/>
              </w:rPr>
              <w:t>-TAA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會員</w:t>
            </w:r>
            <w:r>
              <w:rPr>
                <w:rFonts w:ascii="Times New Roman" w:eastAsia="標楷體" w:hAnsi="Times New Roman"/>
                <w:b/>
                <w:color w:val="FF0000"/>
                <w:szCs w:val="26"/>
              </w:rPr>
              <w:t>$300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，非會員</w:t>
            </w:r>
            <w:r>
              <w:rPr>
                <w:rFonts w:ascii="Times New Roman" w:eastAsia="標楷體" w:hAnsi="Times New Roman"/>
                <w:b/>
                <w:color w:val="FF0000"/>
                <w:szCs w:val="26"/>
              </w:rPr>
              <w:t>$500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。</w:t>
            </w:r>
          </w:p>
        </w:tc>
      </w:tr>
      <w:tr w:rsidR="00AC6140" w:rsidTr="00134522">
        <w:tc>
          <w:tcPr>
            <w:tcW w:w="1384" w:type="dxa"/>
          </w:tcPr>
          <w:p w:rsidR="00AC6140" w:rsidRDefault="00AC6140">
            <w:pPr>
              <w:pStyle w:val="Date"/>
              <w:snapToGrid w:val="0"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/>
              </w:rPr>
              <w:t>繳費方式</w:t>
            </w:r>
          </w:p>
        </w:tc>
        <w:tc>
          <w:tcPr>
            <w:tcW w:w="7156" w:type="dxa"/>
          </w:tcPr>
          <w:p w:rsidR="00AC6140" w:rsidRDefault="00AC6140">
            <w:pPr>
              <w:snapToGrid w:val="0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7030A0"/>
              </w:rPr>
              <w:t>劃撥帳號：</w:t>
            </w:r>
            <w:r>
              <w:rPr>
                <w:rFonts w:eastAsia="標楷體"/>
                <w:color w:val="7030A0"/>
              </w:rPr>
              <w:t xml:space="preserve">3095-3122        </w:t>
            </w:r>
            <w:r>
              <w:rPr>
                <w:rFonts w:eastAsia="標楷體" w:hint="eastAsia"/>
                <w:color w:val="7030A0"/>
              </w:rPr>
              <w:t>戶名：台灣男性學醫學會</w:t>
            </w:r>
          </w:p>
          <w:p w:rsidR="00AC6140" w:rsidRDefault="00AC6140" w:rsidP="00F500EC">
            <w:pPr>
              <w:snapToGrid w:val="0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7030A0"/>
              </w:rPr>
              <w:t>銀行帳號：</w:t>
            </w:r>
            <w:r>
              <w:rPr>
                <w:rFonts w:eastAsia="標楷體"/>
                <w:color w:val="7030A0"/>
              </w:rPr>
              <w:t>461-102-012132</w:t>
            </w:r>
            <w:r>
              <w:rPr>
                <w:rFonts w:eastAsia="標楷體" w:hint="eastAsia"/>
                <w:color w:val="7030A0"/>
              </w:rPr>
              <w:t xml:space="preserve">　</w:t>
            </w:r>
            <w:r>
              <w:rPr>
                <w:rFonts w:eastAsia="標楷體"/>
                <w:color w:val="7030A0"/>
              </w:rPr>
              <w:t>(</w:t>
            </w:r>
            <w:r>
              <w:rPr>
                <w:rFonts w:eastAsia="標楷體" w:hint="eastAsia"/>
                <w:color w:val="7030A0"/>
              </w:rPr>
              <w:t>台北富邦銀行</w:t>
            </w:r>
            <w:r>
              <w:rPr>
                <w:rFonts w:eastAsia="標楷體"/>
                <w:color w:val="7030A0"/>
              </w:rPr>
              <w:t>)</w:t>
            </w:r>
          </w:p>
          <w:p w:rsidR="00AC6140" w:rsidRDefault="00AC6140" w:rsidP="00F500EC">
            <w:pPr>
              <w:snapToGrid w:val="0"/>
              <w:rPr>
                <w:rFonts w:ascii="Times New Roman" w:eastAsia="標楷體" w:hAnsi="Times New Roman"/>
                <w:b/>
                <w:szCs w:val="26"/>
              </w:rPr>
            </w:pPr>
            <w:r>
              <w:rPr>
                <w:rFonts w:eastAsia="標楷體" w:hint="eastAsia"/>
                <w:color w:val="7030A0"/>
              </w:rPr>
              <w:t>銀行戶名：台灣男性學醫學會</w:t>
            </w:r>
          </w:p>
        </w:tc>
      </w:tr>
      <w:tr w:rsidR="00AC6140" w:rsidTr="00134522">
        <w:tc>
          <w:tcPr>
            <w:tcW w:w="1384" w:type="dxa"/>
            <w:tcBorders>
              <w:right w:val="nil"/>
            </w:tcBorders>
          </w:tcPr>
          <w:p w:rsidR="00AC6140" w:rsidRDefault="00AC6140">
            <w:pPr>
              <w:pStyle w:val="Date"/>
              <w:snapToGrid w:val="0"/>
              <w:spacing w:line="276" w:lineRule="auto"/>
              <w:jc w:val="left"/>
              <w:rPr>
                <w:rFonts w:ascii="Times New Roman"/>
                <w:sz w:val="24"/>
                <w:szCs w:val="24"/>
                <w:lang/>
              </w:rPr>
            </w:pPr>
          </w:p>
        </w:tc>
        <w:tc>
          <w:tcPr>
            <w:tcW w:w="7156" w:type="dxa"/>
            <w:tcBorders>
              <w:left w:val="nil"/>
            </w:tcBorders>
          </w:tcPr>
          <w:p w:rsidR="00AC6140" w:rsidRDefault="00AC6140">
            <w:pPr>
              <w:snapToGrid w:val="0"/>
              <w:ind w:rightChars="-139" w:right="-334"/>
              <w:jc w:val="center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sz w:val="32"/>
                <w:szCs w:val="26"/>
              </w:rPr>
              <w:t>報名表</w:t>
            </w:r>
          </w:p>
        </w:tc>
      </w:tr>
      <w:tr w:rsidR="00AC6140" w:rsidTr="00134522">
        <w:tc>
          <w:tcPr>
            <w:tcW w:w="1384" w:type="dxa"/>
          </w:tcPr>
          <w:p w:rsidR="00AC6140" w:rsidRDefault="00AC614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7156" w:type="dxa"/>
          </w:tcPr>
          <w:p w:rsidR="00AC6140" w:rsidRDefault="00AC6140">
            <w:pPr>
              <w:snapToGrid w:val="0"/>
              <w:spacing w:line="276" w:lineRule="auto"/>
              <w:ind w:leftChars="1004" w:left="241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會員編號：</w:t>
            </w:r>
          </w:p>
        </w:tc>
      </w:tr>
      <w:tr w:rsidR="00AC6140" w:rsidTr="00134522">
        <w:tc>
          <w:tcPr>
            <w:tcW w:w="1384" w:type="dxa"/>
          </w:tcPr>
          <w:p w:rsidR="00AC6140" w:rsidRDefault="00AC6140">
            <w:pPr>
              <w:snapToGrid w:val="0"/>
              <w:spacing w:line="276" w:lineRule="auto"/>
              <w:ind w:firstLine="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電話</w:t>
            </w:r>
          </w:p>
        </w:tc>
        <w:tc>
          <w:tcPr>
            <w:tcW w:w="7156" w:type="dxa"/>
          </w:tcPr>
          <w:p w:rsidR="00AC6140" w:rsidRDefault="00AC6140">
            <w:pPr>
              <w:snapToGrid w:val="0"/>
              <w:spacing w:line="276" w:lineRule="auto"/>
              <w:ind w:leftChars="1240" w:left="2976" w:firstLine="1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C6140" w:rsidTr="00134522">
        <w:tc>
          <w:tcPr>
            <w:tcW w:w="1384" w:type="dxa"/>
          </w:tcPr>
          <w:p w:rsidR="00AC6140" w:rsidRDefault="00AC6140" w:rsidP="00632EC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寄報到卡限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EMAIL</w:t>
            </w:r>
          </w:p>
        </w:tc>
        <w:tc>
          <w:tcPr>
            <w:tcW w:w="7156" w:type="dxa"/>
          </w:tcPr>
          <w:p w:rsidR="00AC6140" w:rsidRDefault="00AC6140" w:rsidP="005229C4">
            <w:pPr>
              <w:snapToGrid w:val="0"/>
              <w:spacing w:beforeLines="50" w:afterLines="50"/>
              <w:ind w:leftChars="1240" w:left="2976" w:firstLine="1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AC6140" w:rsidRDefault="00AC6140" w:rsidP="00C84B7B">
      <w:pPr>
        <w:pStyle w:val="ListParagraph"/>
        <w:snapToGrid w:val="0"/>
        <w:ind w:leftChars="0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報名表回傳專線請撥：</w:t>
      </w:r>
      <w:r>
        <w:rPr>
          <w:rFonts w:ascii="Times New Roman" w:hAnsi="Times New Roman"/>
          <w:sz w:val="22"/>
        </w:rPr>
        <w:t xml:space="preserve">02-2234-5128 </w:t>
      </w:r>
      <w:r>
        <w:rPr>
          <w:rFonts w:ascii="Times New Roman" w:hAnsi="Times New Roman" w:hint="eastAsia"/>
          <w:sz w:val="22"/>
        </w:rPr>
        <w:t>或</w:t>
      </w:r>
      <w:r>
        <w:rPr>
          <w:rFonts w:ascii="Times New Roman" w:hAnsi="Times New Roman"/>
          <w:sz w:val="22"/>
        </w:rPr>
        <w:t xml:space="preserve"> Via Email</w:t>
      </w:r>
      <w:r>
        <w:rPr>
          <w:rFonts w:ascii="Times New Roman" w:hAnsi="Times New Roman" w:hint="eastAsia"/>
          <w:sz w:val="22"/>
        </w:rPr>
        <w:t>皆可，謝謝！</w:t>
      </w: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p w:rsidR="00AC6140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tbl>
      <w:tblPr>
        <w:tblW w:w="19710" w:type="dxa"/>
        <w:tblCellSpacing w:w="0" w:type="dxa"/>
        <w:tblInd w:w="-540" w:type="dxa"/>
        <w:tblCellMar>
          <w:left w:w="0" w:type="dxa"/>
          <w:right w:w="0" w:type="dxa"/>
        </w:tblCellMar>
        <w:tblLook w:val="00A0"/>
      </w:tblPr>
      <w:tblGrid>
        <w:gridCol w:w="9360"/>
        <w:gridCol w:w="10350"/>
      </w:tblGrid>
      <w:tr w:rsidR="00AC6140" w:rsidTr="005229C4">
        <w:trPr>
          <w:trHeight w:val="6360"/>
          <w:tblCellSpacing w:w="0" w:type="dxa"/>
        </w:trPr>
        <w:tc>
          <w:tcPr>
            <w:tcW w:w="9360" w:type="dxa"/>
            <w:shd w:val="clear" w:color="auto" w:fill="FFFFFF"/>
          </w:tcPr>
          <w:p w:rsidR="00AC6140" w:rsidRDefault="00AC6140" w:rsidP="00393121">
            <w:pPr>
              <w:rPr>
                <w:rFonts w:ascii="新細明體" w:cs="新細明體"/>
                <w:szCs w:val="24"/>
              </w:rPr>
            </w:pPr>
            <w:r w:rsidRPr="009D74C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i1025" type="#_x0000_t75" alt="http://icc.cyff.org.tw/pbi1/images/ttl_TrafficInfo_zhTW.jpg" style="width:277.5pt;height:53.25pt;visibility:visible">
                  <v:imagedata r:id="rId7" o:title=""/>
                </v:shape>
              </w:pict>
            </w:r>
          </w:p>
          <w:p w:rsidR="00AC6140" w:rsidRPr="009E06F9" w:rsidRDefault="00AC6140" w:rsidP="005229C4">
            <w:pPr>
              <w:rPr>
                <w:rFonts w:ascii="Times New Roman" w:eastAsia="標楷體" w:hAnsi="Times New Roman"/>
              </w:rPr>
            </w:pPr>
            <w:r w:rsidRPr="009E06F9">
              <w:rPr>
                <w:rFonts w:ascii="Times New Roman" w:eastAsia="標楷體" w:hAnsi="Times New Roman" w:hint="eastAsia"/>
              </w:rPr>
              <w:t>張榮發基金會國際會議中心位於路網綿密、交通便利的中山南路上，正對凱達格蘭大道，緊鄰台大醫院及自由廣場</w:t>
            </w:r>
            <w:r w:rsidRPr="009E06F9">
              <w:rPr>
                <w:rFonts w:ascii="Times New Roman" w:eastAsia="標楷體" w:hAnsi="Times New Roman"/>
              </w:rPr>
              <w:t xml:space="preserve"> (</w:t>
            </w:r>
            <w:r w:rsidRPr="009E06F9">
              <w:rPr>
                <w:rFonts w:ascii="Times New Roman" w:eastAsia="標楷體" w:hAnsi="Times New Roman" w:hint="eastAsia"/>
              </w:rPr>
              <w:t>中正紀念堂</w:t>
            </w:r>
            <w:r w:rsidRPr="009E06F9">
              <w:rPr>
                <w:rFonts w:ascii="Times New Roman" w:eastAsia="標楷體" w:hAnsi="Times New Roman"/>
              </w:rPr>
              <w:t>)</w:t>
            </w:r>
            <w:r w:rsidRPr="009E06F9">
              <w:rPr>
                <w:rFonts w:ascii="Times New Roman" w:eastAsia="標楷體" w:hAnsi="Times New Roman" w:hint="eastAsia"/>
              </w:rPr>
              <w:t>，距離台大醫院捷運站步行約</w:t>
            </w:r>
            <w:r w:rsidRPr="009E06F9">
              <w:rPr>
                <w:rFonts w:ascii="Times New Roman" w:eastAsia="標楷體" w:hAnsi="Times New Roman"/>
              </w:rPr>
              <w:t>5</w:t>
            </w:r>
            <w:r w:rsidRPr="009E06F9">
              <w:rPr>
                <w:rFonts w:ascii="Times New Roman" w:eastAsia="標楷體" w:hAnsi="Times New Roman" w:hint="eastAsia"/>
              </w:rPr>
              <w:t>分鐘，至台北車站車程為</w:t>
            </w:r>
            <w:r w:rsidRPr="009E06F9">
              <w:rPr>
                <w:rFonts w:ascii="Times New Roman" w:eastAsia="標楷體" w:hAnsi="Times New Roman"/>
              </w:rPr>
              <w:t>5</w:t>
            </w:r>
            <w:r w:rsidRPr="009E06F9">
              <w:rPr>
                <w:rFonts w:ascii="Times New Roman" w:eastAsia="標楷體" w:hAnsi="Times New Roman" w:hint="eastAsia"/>
              </w:rPr>
              <w:t>分鐘。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59"/>
              <w:gridCol w:w="8201"/>
            </w:tblGrid>
            <w:tr w:rsidR="00AC6140" w:rsidRPr="004F404C" w:rsidTr="000E0549">
              <w:trPr>
                <w:tblCellSpacing w:w="0" w:type="dxa"/>
              </w:trPr>
              <w:tc>
                <w:tcPr>
                  <w:tcW w:w="9300" w:type="dxa"/>
                  <w:gridSpan w:val="2"/>
                </w:tcPr>
                <w:p w:rsidR="00AC6140" w:rsidRPr="004F404C" w:rsidRDefault="00AC6140" w:rsidP="001E0F0F">
                  <w:pPr>
                    <w:widowControl/>
                    <w:snapToGrid w:val="0"/>
                    <w:rPr>
                      <w:rFonts w:ascii="Times New Roman" w:eastAsia="標楷體" w:hAnsi="Times New Roman"/>
                      <w:b/>
                      <w:bCs/>
                      <w:color w:val="A17245"/>
                      <w:kern w:val="0"/>
                      <w:szCs w:val="24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6" type="#_x0000_t202" style="position:absolute;margin-left:74.8pt;margin-top:10.45pt;width:290.9pt;height:15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">
                        <v:textbox style="mso-fit-shape-to-text:t">
                          <w:txbxContent>
                            <w:p w:rsidR="00AC6140" w:rsidRPr="008D7194" w:rsidRDefault="00AC6140">
                              <w:pPr>
                                <w:rPr>
                                  <w:color w:val="000000"/>
                                </w:rPr>
                              </w:pPr>
                              <w:r w:rsidRPr="008D7194">
                                <w:rPr>
                                  <w:rFonts w:ascii="新細明體" w:hAnsi="新細明體" w:cs="新細明體" w:hint="eastAsia"/>
                                  <w:b/>
                                  <w:bCs/>
                                  <w:color w:val="000000"/>
                                  <w:kern w:val="0"/>
                                  <w:szCs w:val="24"/>
                                </w:rPr>
                                <w:t>備有地下停車場，可供中小型汽車停放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8D7194">
                    <w:rPr>
                      <w:rFonts w:ascii="Times New Roman" w:eastAsia="標楷體" w:hAnsi="Times New Roman"/>
                      <w:noProof/>
                    </w:rPr>
                    <w:pict>
                      <v:shape id="圖片 5" o:spid="_x0000_i1026" type="#_x0000_t75" alt="http://icc.cyff.org.tw/pbi1/images/ttl_TrafficInfoPart1_zhTW.png" style="width:57pt;height:73.5pt;visibility:visible">
                        <v:imagedata r:id="rId8" o:title=""/>
                      </v:shape>
                    </w:pict>
                  </w:r>
                </w:p>
              </w:tc>
            </w:tr>
            <w:tr w:rsidR="00AC6140" w:rsidRPr="004F404C" w:rsidTr="000E0549">
              <w:trPr>
                <w:tblCellSpacing w:w="0" w:type="dxa"/>
              </w:trPr>
              <w:tc>
                <w:tcPr>
                  <w:tcW w:w="1152" w:type="dxa"/>
                </w:tcPr>
                <w:p w:rsidR="00AC6140" w:rsidRPr="009E06F9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148" w:type="dxa"/>
                </w:tcPr>
                <w:p w:rsidR="00AC6140" w:rsidRPr="004F404C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E06F9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●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中山高速公路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建國北路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下高架橋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仁愛路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景福門前</w:t>
                  </w:r>
                  <w:r w:rsidRPr="009E06F9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</w:t>
                  </w:r>
                  <w:r w:rsidRPr="009E06F9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AC6140" w:rsidRPr="004F404C" w:rsidTr="000E0549">
              <w:trPr>
                <w:tblCellSpacing w:w="0" w:type="dxa"/>
              </w:trPr>
              <w:tc>
                <w:tcPr>
                  <w:tcW w:w="1152" w:type="dxa"/>
                </w:tcPr>
                <w:p w:rsidR="00AC6140" w:rsidRPr="004F404C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148" w:type="dxa"/>
                </w:tcPr>
                <w:p w:rsidR="00AC6140" w:rsidRPr="004F404C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●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中正橋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重慶南路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總統府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凱達格蘭大道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信義路</w:t>
                  </w:r>
                  <w:r w:rsidRPr="009E06F9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AC6140" w:rsidRPr="004F404C" w:rsidTr="000E0549">
              <w:trPr>
                <w:tblCellSpacing w:w="0" w:type="dxa"/>
              </w:trPr>
              <w:tc>
                <w:tcPr>
                  <w:tcW w:w="1152" w:type="dxa"/>
                </w:tcPr>
                <w:p w:rsidR="00AC6140" w:rsidRPr="004F404C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148" w:type="dxa"/>
                </w:tcPr>
                <w:p w:rsidR="00AC6140" w:rsidRPr="004F404C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●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忠孝路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忠效西路右轉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中山南路</w:t>
                  </w:r>
                  <w:r w:rsidRPr="009E06F9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AC6140" w:rsidRPr="004F404C" w:rsidTr="000E0549">
              <w:trPr>
                <w:tblCellSpacing w:w="0" w:type="dxa"/>
              </w:trPr>
              <w:tc>
                <w:tcPr>
                  <w:tcW w:w="1152" w:type="dxa"/>
                </w:tcPr>
                <w:p w:rsidR="00AC6140" w:rsidRPr="004F404C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148" w:type="dxa"/>
                </w:tcPr>
                <w:p w:rsidR="00AC6140" w:rsidRPr="009E06F9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●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台北橋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民權西路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中山北路二段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→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中山南路</w:t>
                  </w:r>
                  <w:r w:rsidRPr="009E06F9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。</w:t>
                  </w:r>
                </w:p>
                <w:p w:rsidR="00AC6140" w:rsidRPr="004F404C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</w:tr>
            <w:tr w:rsidR="00AC6140" w:rsidRPr="004F404C" w:rsidTr="000E0549">
              <w:trPr>
                <w:tblCellSpacing w:w="0" w:type="dxa"/>
              </w:trPr>
              <w:tc>
                <w:tcPr>
                  <w:tcW w:w="1152" w:type="dxa"/>
                </w:tcPr>
                <w:p w:rsidR="00AC6140" w:rsidRPr="004F404C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8D7194">
                    <w:rPr>
                      <w:rFonts w:ascii="Times New Roman" w:eastAsia="標楷體" w:hAnsi="Times New Roman"/>
                      <w:noProof/>
                    </w:rPr>
                    <w:pict>
                      <v:shape id="圖片 3" o:spid="_x0000_i1027" type="#_x0000_t75" alt="http://icc.cyff.org.tw/pbi1/images/ttl_TrafficInfoPart2_zhTW.png" style="width:57pt;height:73.5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8148" w:type="dxa"/>
                </w:tcPr>
                <w:p w:rsidR="00AC6140" w:rsidRDefault="00AC6140" w:rsidP="005229C4">
                  <w:pPr>
                    <w:widowControl/>
                    <w:spacing w:line="360" w:lineRule="atLeast"/>
                    <w:ind w:left="120" w:hangingChars="50" w:hanging="120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●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搭乘捷運淡水信義線至「台大醫院」站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2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號出口下車</w:t>
                  </w:r>
                </w:p>
                <w:p w:rsidR="00AC6140" w:rsidRPr="009E06F9" w:rsidRDefault="00AC6140" w:rsidP="005229C4">
                  <w:pPr>
                    <w:widowControl/>
                    <w:spacing w:line="360" w:lineRule="atLeast"/>
                    <w:ind w:leftChars="50" w:left="120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(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距離本館步行時間約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5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分鐘左右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)</w:t>
                  </w:r>
                  <w:r w:rsidRPr="009E06F9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。</w:t>
                  </w:r>
                </w:p>
                <w:p w:rsidR="00AC6140" w:rsidRDefault="00AC6140" w:rsidP="005229C4">
                  <w:pPr>
                    <w:widowControl/>
                    <w:spacing w:line="360" w:lineRule="atLeast"/>
                    <w:ind w:left="120" w:hangingChars="50" w:hanging="120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●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搭乘捷運淡水信義線或松山新店線至「中正紀念堂」站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5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號或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6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號出口下車</w:t>
                  </w:r>
                </w:p>
                <w:p w:rsidR="00AC6140" w:rsidRPr="009E06F9" w:rsidRDefault="00AC6140" w:rsidP="005229C4">
                  <w:pPr>
                    <w:widowControl/>
                    <w:spacing w:line="360" w:lineRule="atLeast"/>
                    <w:ind w:leftChars="50" w:left="120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(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距離本館步行時間約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15</w:t>
                  </w:r>
                  <w:r w:rsidRPr="004F404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分鐘左右</w:t>
                  </w:r>
                  <w:r w:rsidRPr="004F40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)</w:t>
                  </w:r>
                  <w:r w:rsidRPr="009E06F9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。</w:t>
                  </w:r>
                </w:p>
                <w:p w:rsidR="00AC6140" w:rsidRPr="004F404C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</w:tr>
            <w:tr w:rsidR="00AC6140" w:rsidRPr="004F404C" w:rsidTr="000E0549">
              <w:trPr>
                <w:trHeight w:val="2880"/>
                <w:tblCellSpacing w:w="0" w:type="dxa"/>
              </w:trPr>
              <w:tc>
                <w:tcPr>
                  <w:tcW w:w="1152" w:type="dxa"/>
                </w:tcPr>
                <w:p w:rsidR="00AC6140" w:rsidRPr="009E06F9" w:rsidRDefault="00AC6140" w:rsidP="00393121">
                  <w:pPr>
                    <w:widowControl/>
                    <w:spacing w:line="360" w:lineRule="atLeast"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8D7194">
                    <w:rPr>
                      <w:rFonts w:ascii="Times New Roman" w:eastAsia="標楷體" w:hAnsi="Times New Roman"/>
                      <w:noProof/>
                    </w:rPr>
                    <w:pict>
                      <v:shape id="圖片 1" o:spid="_x0000_i1028" type="#_x0000_t75" alt="http://icc.cyff.org.tw/pbi1/images/ttl_TrafficInfoPart3_zhTW.png" style="width:57pt;height:73.5pt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8148" w:type="dxa"/>
                </w:tcPr>
                <w:tbl>
                  <w:tblPr>
                    <w:tblW w:w="5000" w:type="pct"/>
                    <w:tblCellSpacing w:w="0" w:type="dxa"/>
                    <w:tblInd w:w="18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8201"/>
                  </w:tblGrid>
                  <w:tr w:rsidR="00AC6140" w:rsidRPr="004F404C" w:rsidTr="00627518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745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7456"/>
                        </w:tblGrid>
                        <w:tr w:rsidR="00AC6140" w:rsidRPr="004F404C" w:rsidTr="0062751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</w:tcPr>
                            <w:p w:rsidR="00AC6140" w:rsidRPr="009E06F9" w:rsidRDefault="00AC6140" w:rsidP="00627518">
                              <w:pPr>
                                <w:widowControl/>
                                <w:spacing w:line="360" w:lineRule="atLeast"/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</w:pP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●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搭乘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214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245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261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263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270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37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621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630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651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公車，於「仁愛</w:t>
                              </w:r>
                            </w:p>
                            <w:p w:rsidR="00AC6140" w:rsidRDefault="00AC6140" w:rsidP="0052180D">
                              <w:pPr>
                                <w:widowControl/>
                                <w:spacing w:line="360" w:lineRule="atLeast"/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</w:pPr>
                              <w:r w:rsidRPr="009E06F9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 xml:space="preserve">　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中山站」下車</w:t>
                              </w:r>
                              <w:r w:rsidRPr="009E06F9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。</w:t>
                              </w:r>
                            </w:p>
                            <w:p w:rsidR="00AC6140" w:rsidRPr="009E06F9" w:rsidRDefault="00AC6140" w:rsidP="0052180D">
                              <w:pPr>
                                <w:widowControl/>
                                <w:spacing w:line="360" w:lineRule="atLeast"/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</w:pP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●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搭乘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214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214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直達車、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245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249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261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263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270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37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621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630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</w:p>
                            <w:p w:rsidR="00AC6140" w:rsidRDefault="00AC6140" w:rsidP="005229C4">
                              <w:pPr>
                                <w:widowControl/>
                                <w:spacing w:line="360" w:lineRule="atLeast"/>
                                <w:ind w:firstLineChars="100" w:firstLine="240"/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</w:pPr>
                              <w:r w:rsidRPr="009E06F9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651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公車，於「仁愛森林路口站」下車</w:t>
                              </w:r>
                              <w:r w:rsidRPr="009E06F9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。</w:t>
                              </w:r>
                            </w:p>
                            <w:p w:rsidR="00AC6140" w:rsidRPr="009E06F9" w:rsidRDefault="00AC6140" w:rsidP="0052180D">
                              <w:pPr>
                                <w:widowControl/>
                                <w:spacing w:line="360" w:lineRule="atLeast"/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</w:pP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●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搭乘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0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東、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20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204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22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237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38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670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信義試辦公車，於「信義森林</w:t>
                              </w:r>
                            </w:p>
                            <w:p w:rsidR="00AC6140" w:rsidRDefault="00AC6140" w:rsidP="0052180D">
                              <w:pPr>
                                <w:widowControl/>
                                <w:spacing w:line="360" w:lineRule="atLeast"/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</w:pPr>
                              <w:r w:rsidRPr="009E06F9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 xml:space="preserve">  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路口站」下車</w:t>
                              </w:r>
                              <w:r w:rsidRPr="009E06F9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。</w:t>
                              </w:r>
                            </w:p>
                            <w:p w:rsidR="00AC6140" w:rsidRDefault="00AC6140" w:rsidP="0052180D">
                              <w:pPr>
                                <w:widowControl/>
                                <w:spacing w:line="360" w:lineRule="atLeast"/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</w:pP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●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搭乘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15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區間車、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15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萬美線、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208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高架線、</w:t>
                              </w:r>
                              <w:r w:rsidRPr="004F404C"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  <w:t>208</w:t>
                              </w: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基河二期國宅線公車，</w:t>
                              </w:r>
                            </w:p>
                            <w:p w:rsidR="00AC6140" w:rsidRPr="004F404C" w:rsidRDefault="00AC6140" w:rsidP="0052180D">
                              <w:pPr>
                                <w:widowControl/>
                                <w:spacing w:line="360" w:lineRule="atLeast"/>
                                <w:ind w:firstLineChars="100" w:firstLine="240"/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</w:pPr>
                              <w:r w:rsidRPr="004F404C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於「景福門站」下車</w:t>
                              </w:r>
                              <w:r w:rsidRPr="009E06F9">
                                <w:rPr>
                                  <w:rFonts w:ascii="Times New Roman" w:eastAsia="標楷體" w:hAnsi="Times New Roman" w:hint="eastAsia"/>
                                  <w:kern w:val="0"/>
                                  <w:szCs w:val="24"/>
                                </w:rPr>
                                <w:t>。</w:t>
                              </w:r>
                            </w:p>
                          </w:tc>
                        </w:tr>
                        <w:tr w:rsidR="00AC6140" w:rsidRPr="009E06F9" w:rsidTr="0062751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</w:tcPr>
                            <w:p w:rsidR="00AC6140" w:rsidRPr="009E06F9" w:rsidRDefault="00AC6140" w:rsidP="00627518">
                              <w:pPr>
                                <w:widowControl/>
                                <w:spacing w:line="360" w:lineRule="atLeast"/>
                                <w:rPr>
                                  <w:rFonts w:ascii="Times New Roman" w:eastAsia="標楷體" w:hAnsi="Times New Roman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C6140" w:rsidRPr="004F404C" w:rsidRDefault="00AC6140" w:rsidP="00627518">
                        <w:pPr>
                          <w:widowControl/>
                          <w:spacing w:line="360" w:lineRule="atLeast"/>
                          <w:rPr>
                            <w:rFonts w:ascii="Times New Roman" w:eastAsia="標楷體" w:hAnsi="Times New Roman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AC6140" w:rsidRPr="004F404C" w:rsidRDefault="00AC6140" w:rsidP="00393121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</w:tr>
          </w:tbl>
          <w:p w:rsidR="00AC6140" w:rsidRPr="004F404C" w:rsidRDefault="00AC6140" w:rsidP="00393121">
            <w:pPr>
              <w:rPr>
                <w:rFonts w:ascii="新細明體" w:cs="新細明體"/>
                <w:szCs w:val="24"/>
              </w:rPr>
            </w:pPr>
          </w:p>
        </w:tc>
        <w:tc>
          <w:tcPr>
            <w:tcW w:w="10350" w:type="dxa"/>
            <w:shd w:val="clear" w:color="auto" w:fill="FFFFFF"/>
          </w:tcPr>
          <w:p w:rsidR="00AC6140" w:rsidRDefault="00AC6140" w:rsidP="00393121">
            <w:pPr>
              <w:rPr>
                <w:rFonts w:ascii="新細明體" w:cs="新細明體"/>
                <w:szCs w:val="24"/>
              </w:rPr>
            </w:pPr>
          </w:p>
        </w:tc>
      </w:tr>
    </w:tbl>
    <w:p w:rsidR="00AC6140" w:rsidRPr="001E0F0F" w:rsidRDefault="00AC6140">
      <w:pPr>
        <w:pStyle w:val="ListParagraph"/>
        <w:snapToGrid w:val="0"/>
        <w:ind w:leftChars="0" w:left="0"/>
        <w:rPr>
          <w:rFonts w:ascii="Times New Roman" w:hAnsi="Times New Roman"/>
          <w:sz w:val="22"/>
        </w:rPr>
      </w:pPr>
    </w:p>
    <w:sectPr w:rsidR="00AC6140" w:rsidRPr="001E0F0F" w:rsidSect="000E0549">
      <w:pgSz w:w="11906" w:h="16838"/>
      <w:pgMar w:top="851" w:right="991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40" w:rsidRDefault="00AC6140" w:rsidP="00F55FD9">
      <w:r>
        <w:separator/>
      </w:r>
    </w:p>
  </w:endnote>
  <w:endnote w:type="continuationSeparator" w:id="0">
    <w:p w:rsidR="00AC6140" w:rsidRDefault="00AC6140" w:rsidP="00F5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40" w:rsidRDefault="00AC6140" w:rsidP="00F55FD9">
      <w:r>
        <w:separator/>
      </w:r>
    </w:p>
  </w:footnote>
  <w:footnote w:type="continuationSeparator" w:id="0">
    <w:p w:rsidR="00AC6140" w:rsidRDefault="00AC6140" w:rsidP="00F55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3625"/>
    <w:multiLevelType w:val="hybridMultilevel"/>
    <w:tmpl w:val="D652B890"/>
    <w:lvl w:ilvl="0" w:tplc="D9F08106">
      <w:start w:val="1"/>
      <w:numFmt w:val="decimal"/>
      <w:lvlText w:val="%1."/>
      <w:lvlJc w:val="left"/>
      <w:pPr>
        <w:ind w:left="480" w:hanging="480"/>
      </w:pPr>
      <w:rPr>
        <w:rFonts w:ascii="Arial" w:eastAsia="新細明體" w:hAnsi="Arial" w:cs="Arial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E34459B"/>
    <w:multiLevelType w:val="hybridMultilevel"/>
    <w:tmpl w:val="2118EE1A"/>
    <w:lvl w:ilvl="0" w:tplc="D9F08106">
      <w:start w:val="1"/>
      <w:numFmt w:val="decimal"/>
      <w:lvlText w:val="%1."/>
      <w:lvlJc w:val="left"/>
      <w:pPr>
        <w:ind w:left="840" w:hanging="480"/>
      </w:pPr>
      <w:rPr>
        <w:rFonts w:ascii="Arial" w:eastAsia="新細明體" w:hAnsi="Arial" w:cs="Arial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607D5CDF"/>
    <w:multiLevelType w:val="hybridMultilevel"/>
    <w:tmpl w:val="BBF65B8C"/>
    <w:lvl w:ilvl="0" w:tplc="A754D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16F"/>
    <w:rsid w:val="0005013E"/>
    <w:rsid w:val="00075B02"/>
    <w:rsid w:val="000E0549"/>
    <w:rsid w:val="000E47E1"/>
    <w:rsid w:val="000E4F83"/>
    <w:rsid w:val="000F16AB"/>
    <w:rsid w:val="000F48E1"/>
    <w:rsid w:val="00124FD8"/>
    <w:rsid w:val="00134522"/>
    <w:rsid w:val="001722F0"/>
    <w:rsid w:val="001B1966"/>
    <w:rsid w:val="001E0F0F"/>
    <w:rsid w:val="0021726F"/>
    <w:rsid w:val="00241A7B"/>
    <w:rsid w:val="00263016"/>
    <w:rsid w:val="0027388D"/>
    <w:rsid w:val="00285FB5"/>
    <w:rsid w:val="002B184D"/>
    <w:rsid w:val="003846A6"/>
    <w:rsid w:val="00393121"/>
    <w:rsid w:val="003B7AD3"/>
    <w:rsid w:val="003F1897"/>
    <w:rsid w:val="0044371F"/>
    <w:rsid w:val="00454809"/>
    <w:rsid w:val="00455A58"/>
    <w:rsid w:val="00477EE6"/>
    <w:rsid w:val="004C3C0A"/>
    <w:rsid w:val="004E44BF"/>
    <w:rsid w:val="004F404C"/>
    <w:rsid w:val="0052180D"/>
    <w:rsid w:val="005229C4"/>
    <w:rsid w:val="00553003"/>
    <w:rsid w:val="0058779E"/>
    <w:rsid w:val="00595DDB"/>
    <w:rsid w:val="005A1D58"/>
    <w:rsid w:val="005C016F"/>
    <w:rsid w:val="005C0BE4"/>
    <w:rsid w:val="00627518"/>
    <w:rsid w:val="00632ECF"/>
    <w:rsid w:val="006455C1"/>
    <w:rsid w:val="00667AC6"/>
    <w:rsid w:val="00673877"/>
    <w:rsid w:val="006D66E2"/>
    <w:rsid w:val="006D6F4E"/>
    <w:rsid w:val="007013BF"/>
    <w:rsid w:val="00782041"/>
    <w:rsid w:val="007E03FC"/>
    <w:rsid w:val="007F0921"/>
    <w:rsid w:val="00841F53"/>
    <w:rsid w:val="00845C6E"/>
    <w:rsid w:val="008B2C6E"/>
    <w:rsid w:val="008D7194"/>
    <w:rsid w:val="008F061D"/>
    <w:rsid w:val="0091696E"/>
    <w:rsid w:val="009325C3"/>
    <w:rsid w:val="009934A4"/>
    <w:rsid w:val="009A1906"/>
    <w:rsid w:val="009D74C7"/>
    <w:rsid w:val="009E06F9"/>
    <w:rsid w:val="009E0E88"/>
    <w:rsid w:val="00A724E2"/>
    <w:rsid w:val="00A84B74"/>
    <w:rsid w:val="00A86A7A"/>
    <w:rsid w:val="00A9146A"/>
    <w:rsid w:val="00AA5631"/>
    <w:rsid w:val="00AC06B7"/>
    <w:rsid w:val="00AC6140"/>
    <w:rsid w:val="00AD3206"/>
    <w:rsid w:val="00AF6F81"/>
    <w:rsid w:val="00B06652"/>
    <w:rsid w:val="00B11C37"/>
    <w:rsid w:val="00B658BB"/>
    <w:rsid w:val="00B904AD"/>
    <w:rsid w:val="00BE77D2"/>
    <w:rsid w:val="00C03569"/>
    <w:rsid w:val="00C74702"/>
    <w:rsid w:val="00C84B7B"/>
    <w:rsid w:val="00D36F83"/>
    <w:rsid w:val="00D614CC"/>
    <w:rsid w:val="00D86E4C"/>
    <w:rsid w:val="00DE3324"/>
    <w:rsid w:val="00E6189E"/>
    <w:rsid w:val="00ED2460"/>
    <w:rsid w:val="00EE502A"/>
    <w:rsid w:val="00F04B26"/>
    <w:rsid w:val="00F07D11"/>
    <w:rsid w:val="00F12CF4"/>
    <w:rsid w:val="00F500EC"/>
    <w:rsid w:val="00F55FD9"/>
    <w:rsid w:val="00FA6EAA"/>
    <w:rsid w:val="00FB2B70"/>
    <w:rsid w:val="00FF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2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16F"/>
    <w:pPr>
      <w:ind w:leftChars="200" w:left="480"/>
    </w:pPr>
  </w:style>
  <w:style w:type="character" w:customStyle="1" w:styleId="apple-converted-space">
    <w:name w:val="apple-converted-space"/>
    <w:basedOn w:val="DefaultParagraphFont"/>
    <w:uiPriority w:val="99"/>
    <w:rsid w:val="00B904A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904AD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F55FD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5FD9"/>
    <w:rPr>
      <w:sz w:val="20"/>
    </w:rPr>
  </w:style>
  <w:style w:type="paragraph" w:styleId="Footer">
    <w:name w:val="footer"/>
    <w:basedOn w:val="Normal"/>
    <w:link w:val="FooterChar"/>
    <w:uiPriority w:val="99"/>
    <w:rsid w:val="00F55FD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5FD9"/>
    <w:rPr>
      <w:sz w:val="20"/>
    </w:rPr>
  </w:style>
  <w:style w:type="table" w:styleId="TableGrid">
    <w:name w:val="Table Grid"/>
    <w:basedOn w:val="TableNormal"/>
    <w:uiPriority w:val="99"/>
    <w:rsid w:val="000E4F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455A58"/>
    <w:rPr>
      <w:rFonts w:cs="Times New Roman"/>
      <w:color w:val="A17245"/>
      <w:u w:val="single"/>
    </w:rPr>
  </w:style>
  <w:style w:type="paragraph" w:styleId="Date">
    <w:name w:val="Date"/>
    <w:basedOn w:val="Normal"/>
    <w:next w:val="Normal"/>
    <w:link w:val="DateChar"/>
    <w:uiPriority w:val="99"/>
    <w:rsid w:val="00134522"/>
    <w:pPr>
      <w:jc w:val="right"/>
    </w:pPr>
    <w:rPr>
      <w:rFonts w:ascii="標楷體" w:eastAsia="標楷體" w:hAnsi="Times New Roman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134522"/>
    <w:rPr>
      <w:rFonts w:ascii="標楷體" w:eastAsia="標楷體" w:hAnsi="Times New Roman" w:cs="Times New Roman"/>
      <w:kern w:val="2"/>
      <w:sz w:val="28"/>
      <w:lang/>
    </w:rPr>
  </w:style>
  <w:style w:type="paragraph" w:styleId="NormalWeb">
    <w:name w:val="Normal (Web)"/>
    <w:basedOn w:val="Normal"/>
    <w:uiPriority w:val="99"/>
    <w:semiHidden/>
    <w:rsid w:val="00D36F83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character" w:customStyle="1" w:styleId="puf1column12011">
    <w:name w:val="puf1_column_12011"/>
    <w:basedOn w:val="DefaultParagraphFont"/>
    <w:uiPriority w:val="99"/>
    <w:rsid w:val="00D36F83"/>
    <w:rPr>
      <w:rFonts w:cs="Times New Roman"/>
      <w:color w:val="542B03"/>
      <w:sz w:val="18"/>
      <w:szCs w:val="18"/>
    </w:rPr>
  </w:style>
  <w:style w:type="character" w:customStyle="1" w:styleId="puf1column11011">
    <w:name w:val="puf1_column_11011"/>
    <w:basedOn w:val="DefaultParagraphFont"/>
    <w:uiPriority w:val="99"/>
    <w:rsid w:val="00D36F83"/>
    <w:rPr>
      <w:rFonts w:cs="Times New Roman"/>
      <w:color w:val="542B03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D36F8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F8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125</Words>
  <Characters>719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泌尿科與精神科的對話 - 男性荷爾蒙與憂鬱症研討會</dc:title>
  <dc:subject/>
  <dc:creator>tomsu</dc:creator>
  <cp:keywords/>
  <dc:description/>
  <cp:lastModifiedBy>hatouser801</cp:lastModifiedBy>
  <cp:revision>2</cp:revision>
  <cp:lastPrinted>2015-10-31T06:28:00Z</cp:lastPrinted>
  <dcterms:created xsi:type="dcterms:W3CDTF">2015-11-05T02:29:00Z</dcterms:created>
  <dcterms:modified xsi:type="dcterms:W3CDTF">2015-11-05T02:29:00Z</dcterms:modified>
</cp:coreProperties>
</file>